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78" w:rsidRDefault="001E4078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БРЕСТСКОГО ОБЛАСТНОГО ИСПОЛНИТЕЛЬНОГО КОМИТЕТА</w:t>
      </w:r>
    </w:p>
    <w:p w:rsidR="001E4078" w:rsidRDefault="001E4078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116</w:t>
      </w:r>
    </w:p>
    <w:p w:rsidR="001E4078" w:rsidRDefault="001E4078">
      <w:pPr>
        <w:pStyle w:val="title"/>
      </w:pPr>
      <w:r>
        <w:t>Об утверждении критериев оценки степени риска</w:t>
      </w:r>
    </w:p>
    <w:p w:rsidR="001E4078" w:rsidRDefault="001E4078">
      <w:pPr>
        <w:pStyle w:val="changei"/>
      </w:pPr>
      <w:r>
        <w:t>Изменения и дополнения:</w:t>
      </w:r>
    </w:p>
    <w:p w:rsidR="001E4078" w:rsidRDefault="001E4078">
      <w:pPr>
        <w:pStyle w:val="changeadd"/>
      </w:pPr>
      <w:r>
        <w:t>Решение Брестского областного исполнительного комитета от 12 ноября 2019 г. № 657 &lt;R91900657100&gt;;</w:t>
      </w:r>
    </w:p>
    <w:p w:rsidR="001E4078" w:rsidRDefault="001E4078">
      <w:pPr>
        <w:pStyle w:val="changeadd"/>
      </w:pPr>
      <w:r>
        <w:t>Решение Брестского областного исполнительного комитета от 11 мая 2023 г. № 299 &lt;R92300299100&gt;</w:t>
      </w:r>
    </w:p>
    <w:p w:rsidR="001E4078" w:rsidRDefault="001E4078">
      <w:pPr>
        <w:pStyle w:val="newncpi"/>
      </w:pPr>
      <w:r>
        <w:t> </w:t>
      </w:r>
    </w:p>
    <w:p w:rsidR="001E4078" w:rsidRDefault="001E4078">
      <w:pPr>
        <w:pStyle w:val="newncpi"/>
      </w:pPr>
      <w:proofErr w:type="gramStart"/>
      <w:r>
        <w:t>На основании части третьей пункта 9 Указа Президента Республики Беларусь от 16 октября 2009 г. № 510 «О совершенствовании контрольной (надзорной) деятельности в Республике Беларусь», пункта 14 Указа Президента Республики Беларусь от 16 октября 2017 г. № 376 «О мерах по совершенствованию контрольной (надзорной) деятельности», постановления Совета Министров Респу</w:t>
      </w:r>
      <w:bookmarkStart w:id="0" w:name="_GoBack"/>
      <w:bookmarkEnd w:id="0"/>
      <w:r>
        <w:t>блики Беларусь от 22 января 2018 г. № 43 «О методике формирования системы оценки степени</w:t>
      </w:r>
      <w:proofErr w:type="gramEnd"/>
      <w:r>
        <w:t xml:space="preserve"> риска» Брестский областной исполнительный комитет РЕШИЛ:</w:t>
      </w:r>
    </w:p>
    <w:p w:rsidR="001E4078" w:rsidRDefault="001E4078">
      <w:pPr>
        <w:pStyle w:val="point"/>
      </w:pPr>
      <w:r>
        <w:t>1. Утвердить 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 (далее – исполкомы), местными администрациями, структурными подразделениями областных, городских (кроме городов районного подчинения), районных исполкомов (прилагаются).</w:t>
      </w:r>
    </w:p>
    <w:p w:rsidR="001E4078" w:rsidRDefault="001E4078">
      <w:pPr>
        <w:pStyle w:val="point"/>
      </w:pPr>
      <w:r>
        <w:t>2. </w:t>
      </w:r>
      <w:proofErr w:type="gramStart"/>
      <w:r>
        <w:t>Установить, что при расчете индикатора высокой степени риска, определяемого в порядке, указанном в части второй пункта 9 Методики формирования системы оценки степени риска, утвержденной постановлением Совета Министров Республики Беларусь от 22 января 2018 г. № 43, по сферам контроля в области торговли, общественного питания, бытового обслуживания населения, защиты прав потребителей, рекламной деятельности применяется повышающий коэффициент 1,3, по остальным сферам контроля – 1,2.</w:t>
      </w:r>
      <w:proofErr w:type="gramEnd"/>
    </w:p>
    <w:p w:rsidR="001E4078" w:rsidRDefault="001E4078">
      <w:pPr>
        <w:pStyle w:val="point"/>
      </w:pPr>
      <w:r>
        <w:t>3. Контролирующим (надзорным) органам обеспечить:</w:t>
      </w:r>
    </w:p>
    <w:p w:rsidR="001E4078" w:rsidRDefault="001E4078">
      <w:pPr>
        <w:pStyle w:val="point"/>
      </w:pPr>
      <w:proofErr w:type="gramStart"/>
      <w:r>
        <w:t>прозрачность отбора субъектов в план выборочных проверок с учетом критериев оценки степени риска и на основании результатов анализа имеющейся в распоряжении контролирующего (надзорного) органа информации, свидетельствующей о высокой степени риска нарушений законодательства;</w:t>
      </w:r>
      <w:proofErr w:type="gramEnd"/>
    </w:p>
    <w:p w:rsidR="001E4078" w:rsidRDefault="001E4078">
      <w:pPr>
        <w:pStyle w:val="newncpi"/>
      </w:pPr>
      <w:r>
        <w:t>внесение информации, которая явилась дополнительным основанием для включения субъекта в план выборочных проверок, в интегрированную автоматизированную систему контрольной (надзорной) деятельности в Республике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43"/>
      </w:tblGrid>
      <w:tr w:rsidR="001E4078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078" w:rsidRDefault="001E40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А.В.Лис</w:t>
            </w:r>
            <w:proofErr w:type="spellEnd"/>
          </w:p>
        </w:tc>
      </w:tr>
      <w:tr w:rsidR="001E4078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078" w:rsidRDefault="001E4078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1E4078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4078" w:rsidRDefault="001E40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Ю.И.Наркевич</w:t>
            </w:r>
            <w:proofErr w:type="spellEnd"/>
          </w:p>
        </w:tc>
      </w:tr>
    </w:tbl>
    <w:p w:rsidR="001E4078" w:rsidRDefault="001E4078">
      <w:pPr>
        <w:pStyle w:val="newncpi"/>
      </w:pPr>
      <w:r>
        <w:t> </w:t>
      </w:r>
    </w:p>
    <w:p w:rsidR="001E4078" w:rsidRDefault="001E4078">
      <w:pPr>
        <w:pStyle w:val="comment"/>
        <w:ind w:firstLine="0"/>
      </w:pPr>
      <w:r>
        <w:t>42 Колб 20 70 24</w:t>
      </w:r>
    </w:p>
    <w:p w:rsidR="001E4078" w:rsidRDefault="001E4078">
      <w:pPr>
        <w:pStyle w:val="newncpi"/>
      </w:pPr>
      <w:r>
        <w:t> </w:t>
      </w:r>
    </w:p>
    <w:p w:rsidR="001E4078" w:rsidRDefault="001E4078">
      <w:pPr>
        <w:rPr>
          <w:rFonts w:eastAsia="Times New Roman"/>
        </w:rPr>
        <w:sectPr w:rsidR="001E4078" w:rsidSect="001E4078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E4078" w:rsidRDefault="001E4078">
      <w:pPr>
        <w:pStyle w:val="comment"/>
        <w:ind w:firstLine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  <w:gridCol w:w="7299"/>
      </w:tblGrid>
      <w:tr w:rsidR="001E4078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newncpi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capu1"/>
            </w:pPr>
            <w:r>
              <w:t>УТВЕРЖДЕНО</w:t>
            </w:r>
          </w:p>
          <w:p w:rsidR="001E4078" w:rsidRDefault="001E4078">
            <w:pPr>
              <w:pStyle w:val="cap1"/>
            </w:pPr>
            <w:r>
              <w:t>Решение</w:t>
            </w:r>
          </w:p>
          <w:p w:rsidR="001E4078" w:rsidRDefault="001E4078">
            <w:pPr>
              <w:pStyle w:val="cap1"/>
            </w:pPr>
            <w:r>
              <w:t>Брестского областного</w:t>
            </w:r>
            <w:r>
              <w:br/>
              <w:t>исполнительного комитета</w:t>
            </w:r>
            <w:r>
              <w:br/>
              <w:t>22.02.2018 № 116</w:t>
            </w:r>
            <w:r>
              <w:br/>
              <w:t>(в редакции решения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  <w:r>
              <w:br/>
              <w:t>11.05.2023 № 299)</w:t>
            </w:r>
          </w:p>
        </w:tc>
      </w:tr>
    </w:tbl>
    <w:p w:rsidR="001E4078" w:rsidRDefault="001E4078">
      <w:pPr>
        <w:pStyle w:val="newncpi0"/>
      </w:pPr>
      <w:r>
        <w:t> </w:t>
      </w:r>
    </w:p>
    <w:p w:rsidR="001E4078" w:rsidRDefault="001E4078">
      <w:pPr>
        <w:pStyle w:val="titleu"/>
      </w:pPr>
      <w:r>
        <w:t>КРИТЕРИИ</w:t>
      </w:r>
      <w:r>
        <w:br/>
        <w:t>оценки степени риска в целях отбора проверяемых субъектов для проведения выборочной проверки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81"/>
        <w:gridCol w:w="7692"/>
        <w:gridCol w:w="2274"/>
        <w:gridCol w:w="2274"/>
      </w:tblGrid>
      <w:tr w:rsidR="001E4078">
        <w:trPr>
          <w:trHeight w:val="240"/>
        </w:trPr>
        <w:tc>
          <w:tcPr>
            <w:tcW w:w="1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Баллы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Период, дата оценки</w:t>
            </w:r>
          </w:p>
        </w:tc>
      </w:tr>
      <w:tr w:rsidR="001E407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структурными подразделениями областного, городских (кроме городов районного подчинения), районных исполнительных комитетов, местными администрациями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при проведении культурно-зрелищных мероприятий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рекламной информации в средствах массовой информации о проведении культурно-зрелищного мероприятия до включения организатора в реестр организаторов культурно-зрелищных мероприятий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предыдущий год, истекший период текущего года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в деятельности организатора культурно-зрелищного мероприятия обстоятельств, предусмотренных в пункте 1 статьи 81 Кодекса Республики Беларусь о культуре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в отношении организатора культурно-зрелищного мероприятия по вопросам нарушения действующего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об отсутствие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привлечении организатора культурно-зрелищного мероприятия к административной ответственности по статье 13.26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на дату составления плана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на дату составления плана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2. Надзор за соблюдением законодательства о занятости населения, пенсионном </w:t>
            </w:r>
            <w:r>
              <w:lastRenderedPageBreak/>
              <w:t>обеспечении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lastRenderedPageBreak/>
              <w:t xml:space="preserve">привлечение юридического лица (должностных лиц субъекта) за нарушение законодательства о занятости населения к административной ответственности по </w:t>
            </w:r>
            <w:r>
              <w:lastRenderedPageBreak/>
              <w:t>основаниям, предусмотренным частями 1 и 2 статьи 10.11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 xml:space="preserve">в год, предшествующий году, в котором </w:t>
            </w:r>
            <w:r>
              <w:lastRenderedPageBreak/>
              <w:t>запланировано проведение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фактов нарушения субъектом обязанностей, определенных статьей 21 Закона Республики Беларусь от 15 июня 2006 г. № 125-З «О занятости населения Республики Беларусь»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неполное оформление документов, необходимых для назначения пенсии (два и более раза в течение календарного года)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информации о результатах очередной (внеочередной,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отсутствие информации об устранении </w:t>
            </w:r>
            <w:proofErr w:type="gramStart"/>
            <w:r>
              <w:t>нарушений порядка проведения аттестации рабочих мест</w:t>
            </w:r>
            <w:proofErr w:type="gramEnd"/>
            <w:r>
              <w:t xml:space="preserve">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юридического лица (должностных лиц субъекта)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количество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более 50 % от общего количества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своевременное проведение аттестации рабочих мест по условиям труда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4. 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оплате труда </w:t>
            </w:r>
            <w:r>
              <w:lastRenderedPageBreak/>
              <w:t>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lastRenderedPageBreak/>
              <w:t>привлечение должностных лиц субъекта к административной ответственности по основаниям, предусмотренным частями 3, 4 и 6 статьи 10.12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 xml:space="preserve">в год, предшествующий году, в котором </w:t>
            </w:r>
            <w:r>
              <w:lastRenderedPageBreak/>
              <w:t>запланировано проведение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информации, полученной от государственных органов и иных организаций, о нарушениях законодательства об оплате труда, в том числе о фактах выплаты заработной платы «в конвертах»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сведений </w:t>
            </w:r>
            <w:proofErr w:type="spellStart"/>
            <w:r>
              <w:t>Белстата</w:t>
            </w:r>
            <w:proofErr w:type="spellEnd"/>
            <w:r>
              <w:t xml:space="preserve"> о выплате заработной платы в размере ниже минимальной заработной платы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>наличие обоснованных обращений граждан о нарушениях субъектом законодательства об оплате труда (включая переадресованные в контролирующий (надзорный) орган иными органами управления, организациями, средствами массовой информации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проверяемого субъекта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факта работы свыше 50 % работников в режиме неполного рабочего времени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факта нахождения свыше 50 % работников субъекта в социальных отпусках без сохранения заработной платы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нарушении законодательства об оплате труда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о фактах выплаты им проверяемым субъектом заработной платы «в конвертах»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5. </w:t>
            </w:r>
            <w:proofErr w:type="gramStart"/>
            <w:r>
              <w:t>Контроль соблюдением нотариусами, организационными структурами Белорусской нотариальной палаты (далее – нотариальная палата) законодательства нотариате, соблюдением нотариусами законодательства предотвращении легализации доходов, полученных преступным путем, финансирования террористической деятельности финансирования распространения оружия массового поражения (повышающий коэффициент 1,2)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нотариальная палата:</w:t>
            </w:r>
          </w:p>
          <w:p w:rsidR="001E4078" w:rsidRDefault="001E4078">
            <w:pPr>
              <w:pStyle w:val="table10"/>
            </w:pPr>
            <w:r>
              <w:t>наличие в течение календарного года обоснованного обращения граждан и: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  <w:p w:rsidR="001E4078" w:rsidRDefault="001E4078">
            <w:pPr>
              <w:pStyle w:val="table10"/>
              <w:jc w:val="center"/>
            </w:pPr>
            <w:r>
              <w:t> </w:t>
            </w:r>
          </w:p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за два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>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иным органом нотариальной палаты в рамках соблюдения законодательства о нотариате (за исключением обращений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лиц);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выявление повторного нарушения в течение года после вынесения Министерством юстиции предписания об устранении нарушений законодательства либо о принятии мер по устранению допущенных нарушений (недостатков);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сохранение действующих и (или) создание новых рабочих мест;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за предыдущие проверяемые периоды;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участие в решении социальных задач республиканского и местного значения нотариусы: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нотариуса);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нотариуса);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 (при отсутствии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нотариуса);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деятельности;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выявление повторного в течение календарного года нарушения нотариусом правил совершения нотариальных действий и (или) порядка совершения нотариальных действий (за исключением нарушений выявленных при рассмотрении обращений по вопросу правомерности действий нотариуса в рамках осуществляемой деятельности);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неоднократное (два раза в течение одного года) нарушение установленного порядка анкетирования клиентов, предусмотренного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неоднократное (два и более раза в течение одного года) нарушение установленного порядка регистрации финансовых операций, подлежащих особому контролю, в специальном формуляре и (или) представления такого формуляра в орган финансового мониторинга;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нарушение установленного порядка фиксации данных, полученных при проведении идентификации участников финансовой операции;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за предыдущие проверяемые периоды;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сохранение действующих и (или) создание новых рабочих мест;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участие в решении социальных задач республиканского и местного значения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lastRenderedPageBreak/>
              <w:t>6. 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земель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неиспользовании земельного участка в течение срока, установленного законодательными актами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</w:pPr>
            <w:r>
              <w:t>1 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нецелевом использовании предоставленного земельного участка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 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нарушении порядка снятия, сохранения и использования плодородного слоя при проведении работ, связанных с нарушением земель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 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 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нарушении сроков возврата временно занимаемых земель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 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7. 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получение и (или) использование бюджетных средств, средств государственных целевых бюджетных фондов, мер государственной поддержки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критерии применяются за истекший период текущего года, в котором осуществляется формирование план выборочных проверок, и за два предшествующих ему календарных года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осуществление приносящей доходы деятельности (наличие в бюджетной организации открытого в банке текущего (расчетного) счета по средствам от приносящей доходы деятельности)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>использование бюджетных средств, средств государственных целевых бюджетных фондов, мер государственной поддержки на капитальные вложения в основные фонды (статья 40 экономической классификации расходов бюджета), и (или) на текущий ремонт зданий и помещений (элемент 10.10.03 статьи 10 экономической классификации расходов бюджета), и (или) на текущие бюджетные трансферты (статья 30 экономической классификации расходов бюджета), и (или) на капитальные бюджетные трансферты (статья 70 экономической</w:t>
            </w:r>
            <w:proofErr w:type="gramEnd"/>
            <w:r>
              <w:t xml:space="preserve"> классификации расходов бюджета)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использование бюджетных средств, средств государственных целевых бюджетных фондов, выделяемых на финансирование государственных программ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>наличие нарушений по результатам предыдущей проверки субъекта, проведенной Министерством финансов или его территориальным органом, Брестским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</w:t>
            </w:r>
            <w:proofErr w:type="gramEnd"/>
            <w:r>
              <w:t xml:space="preserve"> видам расходов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 xml:space="preserve">не проведение Министерством финансов или его территориальным органом, Брестским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проверок субъекта по вопросам соблюдения бюджетного законодательства, а также законодательства, </w:t>
            </w:r>
            <w:r>
              <w:lastRenderedPageBreak/>
              <w:t>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расходов, в течение</w:t>
            </w:r>
            <w:proofErr w:type="gramEnd"/>
            <w:r>
              <w:t xml:space="preserve"> трех лет (включая текущий год, в котором осуществляется формирование плана выборочных проверок, и два предшествующих ему календарных года)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–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lastRenderedPageBreak/>
              <w:t>8. </w:t>
            </w:r>
            <w:proofErr w:type="gramStart"/>
            <w:r>
              <w:t>Контроль за</w:t>
            </w:r>
            <w:proofErr w:type="gramEnd"/>
            <w:r>
              <w:t xml:space="preserve">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фактов задолженности по платежам в бюджет и государственные внебюджетные фонды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создание новых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9. 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проверяемыми субъектами законодательства о книге замечаний и предложений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(или) юридических лиц о нарушениях законодательства о книге замечаний и предложений в отношении проверяемого субъекта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за нарушение законодательства о книге замечаний и предложений к административной ответственности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10. 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охраны историко-культурного наследия (повышающий коэффициент 1,2)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паспорта материальной историко-культурной ценности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за календарный год, предшествующий году, в котором формируется план выборочных проверок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охранной доски на недвижимой материальной историко-культурной ценности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охранного обязательства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осуществление деятельности, которая может оказать воздействие на историк</w:t>
            </w:r>
            <w:proofErr w:type="gramStart"/>
            <w:r>
              <w:t>о-</w:t>
            </w:r>
            <w:proofErr w:type="gramEnd"/>
            <w:r>
              <w:t xml:space="preserve"> культурную ценность категории «3», «без категории»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информации о неуплате (несвоевременной и (или) неполной уплате) отчислений, предусмотренных Указом Президента та Республики Беларусь от 18 октября 2007 г. № 527 «Аб </w:t>
            </w:r>
            <w:proofErr w:type="spellStart"/>
            <w:r>
              <w:t>некаторых</w:t>
            </w:r>
            <w:proofErr w:type="spellEnd"/>
            <w:r>
              <w:t xml:space="preserve"> </w:t>
            </w:r>
            <w:proofErr w:type="spellStart"/>
            <w:r>
              <w:t>пытаннях</w:t>
            </w:r>
            <w:proofErr w:type="spellEnd"/>
            <w:r>
              <w:t xml:space="preserve">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i</w:t>
            </w:r>
            <w:proofErr w:type="gramEnd"/>
            <w:r>
              <w:t>сторыка-культурнай</w:t>
            </w:r>
            <w:proofErr w:type="spellEnd"/>
            <w:r>
              <w:t xml:space="preserve"> </w:t>
            </w:r>
            <w:proofErr w:type="spellStart"/>
            <w:r>
              <w:t>спадчыны</w:t>
            </w:r>
            <w:proofErr w:type="spellEnd"/>
            <w:r>
              <w:t>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осуществление деятельности, которая может оказать воздействие на историко-культурную ценность категории «0», «1», «2»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информации о привлечении к административной ответственности по основаниям, предусмотренным статьями 20.1-20.5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утвержденных зон охраны недвижимой материальной историк</w:t>
            </w:r>
            <w:proofErr w:type="gramStart"/>
            <w:r>
              <w:t>о-</w:t>
            </w:r>
            <w:proofErr w:type="gramEnd"/>
            <w:r>
              <w:t xml:space="preserve"> культурной ценности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</w:t>
            </w:r>
            <w:r>
              <w:lastRenderedPageBreak/>
              <w:t>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ухудшение условий восприятия недвижимых материальных историк</w:t>
            </w:r>
            <w:proofErr w:type="gramStart"/>
            <w:r>
              <w:t>о-</w:t>
            </w:r>
            <w:proofErr w:type="gramEnd"/>
            <w:r>
              <w:t xml:space="preserve"> культурных ценностей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установленных </w:t>
            </w:r>
            <w:proofErr w:type="gramStart"/>
            <w:r>
              <w:t>фактов об уничтожении</w:t>
            </w:r>
            <w:proofErr w:type="gramEnd"/>
            <w:r>
              <w:t xml:space="preserve"> историко-культурных ценностей или создании угрозы их уничтожения, причинении им ущерба или создание угрозы ее причинения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заключения Министерства культуры о соответствии принимаемой в эксплуатацию недвижимости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- 10 % (по всем критериям оценки степени риска в данной сфере)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11. 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жилищного законодательства (повышающий коэффициент 1,2) 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к административной ответственности за нарушение жилищного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(или) юридических лиц о нарушениях жилищного законодательства в отношении проверяемого субъекта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нарушениях законодательства субъектом при постановке на учет (снятия с учета) граждан, нуждающихся в улучшении жилищных условий и условий льготного кредитования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нарушениях законодательства со стороны субъекта в части предоставления жилых помещений социального и коммерческого 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субъекта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сохранение действующих и создание не менее 3 новых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длительность работы на рынке более 10 лет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12. Контроль в области жилищного строительства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к административной ответственности за нарушение законодательства в области жилищного строительства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обоснованных обращений граждан и (или) юридических лиц о нарушениях </w:t>
            </w:r>
            <w:r>
              <w:lastRenderedPageBreak/>
              <w:t>законодательства в области жилищного строительства в отношении проверяемого субъекта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1 балл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неоднократное продление разрешения на строительно-монтажные работы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не проведении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отказ застройщика </w:t>
            </w:r>
            <w:proofErr w:type="gramStart"/>
            <w:r>
              <w:t>от исполнения обязательств по созданию объекта строительства в связи с невозможностью исполнения принятых обязательств по договорам</w:t>
            </w:r>
            <w:proofErr w:type="gramEnd"/>
            <w:r>
              <w:t xml:space="preserve"> создания объектов долевого строительства и (или) договору строительства подряда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прекращение финансирования застройщиком строительства объекта на срок более трех месяцев (систематические не расчеты с подрядными организациями за выполненные работы)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осуществление самовольного строительства жилых домов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субъекта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сохранение действующих и создание не менее 3 новых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длительность работы на рынке более 10 лет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13. 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качества образования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дошкольное образование и специальное образование на уровне дошкольного образования: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кадрами: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доля воспитателей дошкольного образования, имеющих образование по специальности «Дошкольное образование» менее 35 %;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доля воспитателей дошкольного образования, имеющих высшую и первую квалификационную категорию менее 35 %;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общее среднее образование и специальное образование на уровне общего среднего образования: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newncpi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работниками – доля педагогических работников, имеющих высшую и первую квалификационную категорию менее 50 %;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государственная аккредитация – отказ в государственной аккредитации (подтверждении);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жизнеустройство выпускников: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количество выпускников, получивших общее базовое образование, которые нигде не работают и не учатся;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количество выпускников, получивших общее среднее образование, </w:t>
            </w:r>
            <w:proofErr w:type="gramStart"/>
            <w:r>
              <w:t>которые</w:t>
            </w:r>
            <w:proofErr w:type="gramEnd"/>
            <w:r>
              <w:t xml:space="preserve"> нигде не </w:t>
            </w:r>
            <w:r>
              <w:lastRenderedPageBreak/>
              <w:t>работают и не учатся;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обеспечение безопасности образовательного процесса – количество учащихся, получивших травмы во время образовательного процесса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дополнительное образование детей и молодежи: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кадрами: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укомплектованность педагогическими кадрами в соответствии со штатным расписанием, тарификацией, квалификационными требованиями менее 60 %;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количественный состав педагогических работников, имеющих первую и высшую квалификационную категорию менее 30 %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профессионально-техническое образование: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кадрами: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 менее 70 %;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квалификационной категорией менее 40 %;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численности </w:t>
            </w:r>
            <w:proofErr w:type="gramStart"/>
            <w:r>
              <w:t>обучающихся</w:t>
            </w:r>
            <w:proofErr w:type="gramEnd"/>
            <w:r>
              <w:t>, установленной лицензией на осуществление образовательной деятельности;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государственная аккредитация – выдача учреждением образования документов об образовании без прохождения в установленном порядке государственной аккредитации (ее подтверждении);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жизнеустройство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распределению, менее 90 %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среднее специальное образование: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кадрами: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 менее 70 %;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преподавательского состава и работников воспитательного процесса с высшей и первой квалификационной категорией менее 40 %;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превышение общей численности обучающихся, установленной лицензии (наличие фактов);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реализация образовательного процесса по специальностям, не указанным в лицензии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государственная аккредитация: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жизнеустройство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распределению, менее 90 %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высшее образование: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обеспеченность педагогическими кадрами: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процент укомплектованности учреждения образования педагогическими кадрами от общего количества мест, предусмотренных штатным расписанием, менее 70 %;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процент профессорско-преподавательского состава (ППС) с учеными степенями и званиями от общего количества ППС менее 40 %;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соответствие требованиям и условиям, установленным специальным разрешением (лицензией) на право осуществления образовательной деятельности: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превышение численности обучающихся, установленной лицензией (наличие фактов);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реализация образовательного процесса по специальностям, не указанным в лицензии (наличие фактов);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государственная аккредитация: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выдача учреждением образования документов об образовании без прохождения в установленном порядке государственной аккредитации (ее подтверждения) (наличие фактов);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жизнеустройство студентов: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процент сохранения контингента обучающихся на протяжении всего периода обучения от контрольных цифр в дневной форме за счет средств бюджета (в разрезе специальностей), менее 80 %;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распределению, менее 90 %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дополнительное образование взрослых: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реализация образовательного процесса по специальностям, не указанным в лицензии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государственная аккредитация: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 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 1,3)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проверяемый субъект осуществляет деятельность в сфере бытового обслуживания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проверяемый субъект осуществляет деятельность в сфере общественного питания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 xml:space="preserve">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здоровью населения, окружающей среде (в текущем году, а также в течение двух </w:t>
            </w:r>
            <w:r>
              <w:lastRenderedPageBreak/>
              <w:t>календарных лет ему предшествующих)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 ему предшествующих)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 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 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обоснованных жалоб на субъект в текущем году, а также в течение двух календарных лет ему предшествующих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15. 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12.8, 12.12, 12.15, 12.22, 12.29, 12.32–12.33, 13.1–13.5, 13.10, 13.13–13.15, 22.14, 24.25, 24.58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невыполнении организацией застройщиков, гаражных кооперативов и кооперативов, осуществляющих эксплуатацию автомобильных стоянок, обязанностей, предусмотренных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предпринимательской деятельности, непредусмотренной уставом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субъекта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сохранение действующих и создание не менее 3 новых рабочих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длительность работы на рынке более 10 лет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16. 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садоводческих товариществ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12.8, 12.12, 12.15, 12.22, 12.29, 12.32–12.33, 13.1–13.5, 13.10, 13.13–13.15, 22.14, 24.25, 24.58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сведений об осуществлении на территории садоводческих товарище</w:t>
            </w:r>
            <w:proofErr w:type="gramStart"/>
            <w:r>
              <w:t>ств пр</w:t>
            </w:r>
            <w:proofErr w:type="gramEnd"/>
            <w:r>
              <w:t>едпринимательской деятельности, непредусмотренной уставом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несоблюдении членами садоводческого товарищества природоохранного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proofErr w:type="gramStart"/>
            <w:r>
              <w:t>наличие достоверной информации о несоблюдении членами садоводческого товарищества земельного законодательства включая</w:t>
            </w:r>
            <w:proofErr w:type="gramEnd"/>
            <w:r>
              <w:t xml:space="preserve"> самовольное занятие земель несоответствие фактических границ участков правоустанавливающим документам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субъекта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17. 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товариществ собственников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12.8, 12.12, 12.15, 12.22, 12.29, 12.32–12.33, 13.1–13.5, 13.10, 13.13–13.15, 22.14, 24.25, 24.58 КоАП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2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просроченной задолженности по оплате за постановленную электроэнергию, газ и прочие жилищно-коммунальные услуги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сведений об осуществлении на территории предпринимательской деятельности, непредусмотренной уставом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субъекта за предыдущие проверяемые периоды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18. 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 1,2)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 реализации проверяемым субъектом фальсифицированных алкогольных напитков, табачных изделий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поступление информации от иных контролирующих (надзорных) органов, а также производителей (поставщиков) о просроченной задолженности проверяемого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10 баллов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3 балла за каждый факт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наличие достоверной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  <w:tr w:rsidR="001E40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4078" w:rsidRDefault="001E40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table10"/>
            </w:pPr>
            <w:r>
              <w:t>отсутствие нарушений в работе проверяемого субъекта за предыдущий проверяемый период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-3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078" w:rsidRDefault="001E4078">
            <w:pPr>
              <w:pStyle w:val="table10"/>
              <w:jc w:val="center"/>
            </w:pPr>
            <w:r>
              <w:t>»</w:t>
            </w:r>
          </w:p>
        </w:tc>
      </w:tr>
    </w:tbl>
    <w:p w:rsidR="001E4078" w:rsidRDefault="001E40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  <w:gridCol w:w="7299"/>
      </w:tblGrid>
      <w:tr w:rsidR="001E4078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078" w:rsidRDefault="001E407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E4078" w:rsidRDefault="001E4078">
      <w:pPr>
        <w:pStyle w:val="newncpi"/>
      </w:pPr>
      <w:r>
        <w:t> </w:t>
      </w:r>
    </w:p>
    <w:p w:rsidR="00953F9D" w:rsidRDefault="00953F9D"/>
    <w:sectPr w:rsidR="00953F9D" w:rsidSect="001E4078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E5" w:rsidRDefault="00A31EE5" w:rsidP="001E4078">
      <w:pPr>
        <w:spacing w:after="0" w:line="240" w:lineRule="auto"/>
      </w:pPr>
      <w:r>
        <w:separator/>
      </w:r>
    </w:p>
  </w:endnote>
  <w:endnote w:type="continuationSeparator" w:id="0">
    <w:p w:rsidR="00A31EE5" w:rsidRDefault="00A31EE5" w:rsidP="001E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E5" w:rsidRDefault="00A31EE5" w:rsidP="001E4078">
      <w:pPr>
        <w:spacing w:after="0" w:line="240" w:lineRule="auto"/>
      </w:pPr>
      <w:r>
        <w:separator/>
      </w:r>
    </w:p>
  </w:footnote>
  <w:footnote w:type="continuationSeparator" w:id="0">
    <w:p w:rsidR="00A31EE5" w:rsidRDefault="00A31EE5" w:rsidP="001E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78" w:rsidRDefault="001E4078" w:rsidP="003819D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078" w:rsidRDefault="001E4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78" w:rsidRPr="001E4078" w:rsidRDefault="001E4078" w:rsidP="003819D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E4078">
      <w:rPr>
        <w:rStyle w:val="a9"/>
        <w:rFonts w:ascii="Times New Roman" w:hAnsi="Times New Roman" w:cs="Times New Roman"/>
        <w:sz w:val="24"/>
      </w:rPr>
      <w:fldChar w:fldCharType="begin"/>
    </w:r>
    <w:r w:rsidRPr="001E407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E407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1E4078">
      <w:rPr>
        <w:rStyle w:val="a9"/>
        <w:rFonts w:ascii="Times New Roman" w:hAnsi="Times New Roman" w:cs="Times New Roman"/>
        <w:sz w:val="24"/>
      </w:rPr>
      <w:fldChar w:fldCharType="end"/>
    </w:r>
  </w:p>
  <w:p w:rsidR="001E4078" w:rsidRPr="001E4078" w:rsidRDefault="001E4078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8"/>
    <w:rsid w:val="001E4078"/>
    <w:rsid w:val="00953F9D"/>
    <w:rsid w:val="00A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7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E4078"/>
    <w:rPr>
      <w:color w:val="154C94"/>
      <w:u w:val="single"/>
    </w:rPr>
  </w:style>
  <w:style w:type="paragraph" w:customStyle="1" w:styleId="article">
    <w:name w:val="article"/>
    <w:basedOn w:val="a"/>
    <w:rsid w:val="001E407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E40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E40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E40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E407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E40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E407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E40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E407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E40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E40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E40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E407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E40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E40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E407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E407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E407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E407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E407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E40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E407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E407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E407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E407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E40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E407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E40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E4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E407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E407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E407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E40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E407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E407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E4078"/>
    <w:rPr>
      <w:rFonts w:ascii="Symbol" w:hAnsi="Symbol" w:hint="default"/>
    </w:rPr>
  </w:style>
  <w:style w:type="character" w:customStyle="1" w:styleId="onewind3">
    <w:name w:val="onewind3"/>
    <w:basedOn w:val="a0"/>
    <w:rsid w:val="001E4078"/>
    <w:rPr>
      <w:rFonts w:ascii="Wingdings 3" w:hAnsi="Wingdings 3" w:hint="default"/>
    </w:rPr>
  </w:style>
  <w:style w:type="character" w:customStyle="1" w:styleId="onewind2">
    <w:name w:val="onewind2"/>
    <w:basedOn w:val="a0"/>
    <w:rsid w:val="001E4078"/>
    <w:rPr>
      <w:rFonts w:ascii="Wingdings 2" w:hAnsi="Wingdings 2" w:hint="default"/>
    </w:rPr>
  </w:style>
  <w:style w:type="character" w:customStyle="1" w:styleId="onewind">
    <w:name w:val="onewind"/>
    <w:basedOn w:val="a0"/>
    <w:rsid w:val="001E4078"/>
    <w:rPr>
      <w:rFonts w:ascii="Wingdings" w:hAnsi="Wingdings" w:hint="default"/>
    </w:rPr>
  </w:style>
  <w:style w:type="character" w:customStyle="1" w:styleId="rednoun">
    <w:name w:val="rednoun"/>
    <w:basedOn w:val="a0"/>
    <w:rsid w:val="001E4078"/>
  </w:style>
  <w:style w:type="character" w:customStyle="1" w:styleId="post">
    <w:name w:val="post"/>
    <w:basedOn w:val="a0"/>
    <w:rsid w:val="001E4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E4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E407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E407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E407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E407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E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E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078"/>
  </w:style>
  <w:style w:type="paragraph" w:styleId="a7">
    <w:name w:val="footer"/>
    <w:basedOn w:val="a"/>
    <w:link w:val="a8"/>
    <w:uiPriority w:val="99"/>
    <w:unhideWhenUsed/>
    <w:rsid w:val="001E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078"/>
  </w:style>
  <w:style w:type="character" w:styleId="a9">
    <w:name w:val="page number"/>
    <w:basedOn w:val="a0"/>
    <w:uiPriority w:val="99"/>
    <w:semiHidden/>
    <w:unhideWhenUsed/>
    <w:rsid w:val="001E4078"/>
  </w:style>
  <w:style w:type="table" w:styleId="aa">
    <w:name w:val="Table Grid"/>
    <w:basedOn w:val="a1"/>
    <w:uiPriority w:val="59"/>
    <w:rsid w:val="001E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7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E4078"/>
    <w:rPr>
      <w:color w:val="154C94"/>
      <w:u w:val="single"/>
    </w:rPr>
  </w:style>
  <w:style w:type="paragraph" w:customStyle="1" w:styleId="article">
    <w:name w:val="article"/>
    <w:basedOn w:val="a"/>
    <w:rsid w:val="001E407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E40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E40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E40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E407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E40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E407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E40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E407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E40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E40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E40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E407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E40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E40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E407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E407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E407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E407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E407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E40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E407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E40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E407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E407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E40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E407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E407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E407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E40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E407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E4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E40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E407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E40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E4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E407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E407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E407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E40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E407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E407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E407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E4078"/>
    <w:rPr>
      <w:rFonts w:ascii="Symbol" w:hAnsi="Symbol" w:hint="default"/>
    </w:rPr>
  </w:style>
  <w:style w:type="character" w:customStyle="1" w:styleId="onewind3">
    <w:name w:val="onewind3"/>
    <w:basedOn w:val="a0"/>
    <w:rsid w:val="001E4078"/>
    <w:rPr>
      <w:rFonts w:ascii="Wingdings 3" w:hAnsi="Wingdings 3" w:hint="default"/>
    </w:rPr>
  </w:style>
  <w:style w:type="character" w:customStyle="1" w:styleId="onewind2">
    <w:name w:val="onewind2"/>
    <w:basedOn w:val="a0"/>
    <w:rsid w:val="001E4078"/>
    <w:rPr>
      <w:rFonts w:ascii="Wingdings 2" w:hAnsi="Wingdings 2" w:hint="default"/>
    </w:rPr>
  </w:style>
  <w:style w:type="character" w:customStyle="1" w:styleId="onewind">
    <w:name w:val="onewind"/>
    <w:basedOn w:val="a0"/>
    <w:rsid w:val="001E4078"/>
    <w:rPr>
      <w:rFonts w:ascii="Wingdings" w:hAnsi="Wingdings" w:hint="default"/>
    </w:rPr>
  </w:style>
  <w:style w:type="character" w:customStyle="1" w:styleId="rednoun">
    <w:name w:val="rednoun"/>
    <w:basedOn w:val="a0"/>
    <w:rsid w:val="001E4078"/>
  </w:style>
  <w:style w:type="character" w:customStyle="1" w:styleId="post">
    <w:name w:val="post"/>
    <w:basedOn w:val="a0"/>
    <w:rsid w:val="001E4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E4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E407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E407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E407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E407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E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E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078"/>
  </w:style>
  <w:style w:type="paragraph" w:styleId="a7">
    <w:name w:val="footer"/>
    <w:basedOn w:val="a"/>
    <w:link w:val="a8"/>
    <w:uiPriority w:val="99"/>
    <w:unhideWhenUsed/>
    <w:rsid w:val="001E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078"/>
  </w:style>
  <w:style w:type="character" w:styleId="a9">
    <w:name w:val="page number"/>
    <w:basedOn w:val="a0"/>
    <w:uiPriority w:val="99"/>
    <w:semiHidden/>
    <w:unhideWhenUsed/>
    <w:rsid w:val="001E4078"/>
  </w:style>
  <w:style w:type="table" w:styleId="aa">
    <w:name w:val="Table Grid"/>
    <w:basedOn w:val="a1"/>
    <w:uiPriority w:val="59"/>
    <w:rsid w:val="001E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4965</Words>
  <Characters>36345</Characters>
  <Application>Microsoft Office Word</Application>
  <DocSecurity>0</DocSecurity>
  <Lines>1397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 Ирина Вячеславовна</dc:creator>
  <cp:lastModifiedBy>Кузич Ирина Вячеславовна</cp:lastModifiedBy>
  <cp:revision>1</cp:revision>
  <dcterms:created xsi:type="dcterms:W3CDTF">2023-08-23T08:33:00Z</dcterms:created>
  <dcterms:modified xsi:type="dcterms:W3CDTF">2023-08-23T08:34:00Z</dcterms:modified>
</cp:coreProperties>
</file>