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C4" w:rsidRDefault="008662C4" w:rsidP="00866CC3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ИТОГИ СОЦИАЛЬНО-ЭКОНОМИЧЕСКОГО РАЗВИТИЯ РЕГИОНА ЗА 2023 ГОД </w:t>
      </w:r>
    </w:p>
    <w:p w:rsidR="00866CC3" w:rsidRPr="00D221E7" w:rsidRDefault="00866CC3" w:rsidP="00866CC3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sz w:val="30"/>
          <w:szCs w:val="30"/>
          <w:lang w:eastAsia="ru-RU"/>
        </w:rPr>
        <w:t>(областная тема)</w:t>
      </w:r>
    </w:p>
    <w:p w:rsidR="00866CC3" w:rsidRDefault="00866CC3" w:rsidP="00866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За 2023 год в области зарегистрировано 892 новые коммерческие организации</w:t>
      </w:r>
      <w:r w:rsidRPr="008662C4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, 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том числе 126 промышленных </w:t>
      </w:r>
      <w:r w:rsidRPr="008662C4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(за 2022 год зарегистрировано 666 новых коммерческих организаций, в том числе 186 промышленных).</w:t>
      </w:r>
    </w:p>
    <w:p w:rsid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В Брестской области на 1 января 2024 г. на налоговом учете состояло 9 022 микро-, малых и 296 средних организаций, 33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972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индивидуальных предпринимателя. За 2023 год от субъектов малого и среднего предпринимательства в консолидированный бюджет области поступило 1 130,8 млн. рублей, или 41,8% налоговых поступлений бюджета области, темп роста – 120,8%.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целях оказания содействия развитию малого и среднего предпринимательства в области действуют 16 центров поддержки предпринимательства </w:t>
      </w:r>
      <w:r w:rsidRPr="008662C4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(в городах Брест – 6, Барановичи – 2, Пинск – 2,  Ивацевичи – 1, Кобрин – 1, Пружаны – 1, Столин – 1, Березовском районе – 2)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2 инкубатора малого предпринимательства </w:t>
      </w:r>
      <w:r w:rsidRPr="008662C4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(в городах Брест, Береза)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</w:p>
    <w:p w:rsidR="008662C4" w:rsidRPr="008662C4" w:rsidRDefault="008662C4" w:rsidP="008662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Г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осударственная финансовая поддержка оказана 8 субъектам малого предпринимательства на общую сумму 3 266 тыс. рублей и направлена на реализацию инвестиционных проектов, предусматривающих организацию и развитие производства импортозамещающих товаров, в частности на приобретение оборудования изделий из нержавеющей стали, метизных изделий, изделий из пластмассы и т.д.</w:t>
      </w:r>
    </w:p>
    <w:p w:rsidR="008662C4" w:rsidRPr="008662C4" w:rsidRDefault="008662C4" w:rsidP="0086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настоящее время ситуация на потребительском рынке Брестской области остается стабильной и управляемой. В торговых объектах обеспечен широкий ассортимент товаров, в том числе отечественного и импортного производства.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Доля отечественных товаров в структуре продаж торговых организаций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январь-сентябрь 2023 г.</w:t>
      </w: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 составила 67,0 % (по республике – 60,8 %), в том числе по продовольственным товарам – 78,4 % (77,9%), по непродовольственным товарам – 53,3 % (41,8 %), и по сравнению с аналогичным периодом 2022 года увеличилась на 0,4 п.п., в том числе по продовольственным товарам –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«плюс» 0,4 п.п.</w:t>
      </w: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, по непродовольственным товарам –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«плюс» 0,3 п.п.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По данным Торгового реестра Республики Беларусь по состоянию на 01.01.2024 на территории Брестской области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функционируют 17996 розничных торговых объектов с торговой площадью 1036,4 тыс. кв. м., из них 8175 магазинов с торговой площадью 913,1 тыс. кв. м.; 3058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объектов общественного питания на 139,2 тыс. мест.  </w:t>
      </w:r>
    </w:p>
    <w:p w:rsid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lastRenderedPageBreak/>
        <w:t xml:space="preserve">Норматив </w:t>
      </w:r>
      <w:r w:rsidRPr="008662C4">
        <w:rPr>
          <w:rFonts w:ascii="Times New Roman" w:eastAsia="Times New Roman" w:hAnsi="Times New Roman" w:cs="Times New Roman"/>
          <w:sz w:val="30"/>
          <w:szCs w:val="30"/>
        </w:rPr>
        <w:t xml:space="preserve">минимальной обеспеченности населения торговой площадью жителей Брестской области составляет 821,21 кв. метров на 1 тыс. человек при нормативе 610 кв.м., </w:t>
      </w:r>
      <w:r w:rsidRPr="008662C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норматив минимальной обеспеченности населения местами в общедоступных объектах общественного питания составляет 46,9 мест на 1000 жителей при нормативе 42.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Объем </w:t>
      </w: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внешней торговли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товарами в январе-ноябре 2023 г. превысил 5 млрд. долл. и увеличился по сравнению с январем-ноябрем 2022 г. на 0,2%. В том числе, экспорт</w:t>
      </w: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составил 3,2 млрд. долл., или на 5,4% ниже уровня января-ноября 2022 г. Сальдо внешней торговли товарами сложилось положительное и составило 1,3 млрд. долл.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Область по-прежнему сохраняет лидирующую позицию в республике по объемам экспорта сельхозпродукции и продуктов питания. За январь-ноябрь 2023 г. объем экспорта составил порядка 2 млрд. долл., темп роста – 95,2%. Доля в экспорте республики 28,8%.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Крупнейшие внешнеторговые партнеры области </w:t>
      </w:r>
      <w:r w:rsidRPr="009008A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(2 970,9 млн. долл., или 91,7% от общего объема экспорта)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Россия </w:t>
      </w:r>
      <w:r w:rsidRPr="009008A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(2500,7 млн. долл., доля в экспорте – 77,2%)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Китай </w:t>
      </w:r>
      <w:r w:rsidRPr="009008A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(155,1 млн. долл., 4,8%)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Казахстан </w:t>
      </w:r>
      <w:r w:rsidRPr="009008A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(148,4 млн. долл., 4,6%)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Доля рынка Европейского Союза в январе-ноябре 2023 г. уменьшилась до 7,1% с 13,8%, при этом присутствие предприятий области на данном рынке поддерживается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Экспорт товаров в страны «дальней дуги» за январь-ноябрь 2023 г. составил 200,0 млн. долл., или 134,5% к уровню соответствующего периода 2022 года.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Экспорт услуг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 области за январь-ноябрь 2023 г. составил 315,5 млн. долл., или 91,6% к уровню аналогичного периода 2022 года. Сальдо сложилось положительное в размере 139,6 млн. долл.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За 9 месяцев 2023 года не достигнуто выполнение целевого показателя по </w:t>
      </w:r>
      <w:r w:rsidRPr="009008A0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снижению уровня затрат</w:t>
      </w:r>
      <w:r w:rsidRPr="009008A0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– «плюс» 1,4% при задании «минус» 1,4%.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Рост затрат связан с увеличением к январю-сентябрю 2022 г. фактических закупочных цен на сырье и компоненты.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Номинальная начисленная среднемесячная заработная плата в </w:t>
      </w: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>2023 году в области составила 1 675,5 руб., увеличилась к 2022 году на 18,9%, реальная на 13,1%.</w:t>
      </w:r>
      <w:bookmarkStart w:id="0" w:name="_GoBack"/>
      <w:bookmarkEnd w:id="0"/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бюджетных организациях </w:t>
      </w:r>
      <w:r w:rsidRPr="009008A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области</w:t>
      </w: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заработная плата </w:t>
      </w:r>
      <w:r w:rsidRPr="009008A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в 2023 году </w:t>
      </w: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составила 1 368 руб.</w:t>
      </w:r>
      <w:r w:rsidRPr="009008A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и увеличилась 2022 году на 16,4%, реальная – на 10,8%.</w:t>
      </w:r>
    </w:p>
    <w:p w:rsidR="009008A0" w:rsidRPr="008662C4" w:rsidRDefault="009008A0" w:rsidP="00866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662C4" w:rsidRPr="008662C4" w:rsidRDefault="008662C4" w:rsidP="008662C4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>По итогам 2023 года по Брестской области ожидаются следующие объемы строительства жилья.</w:t>
      </w:r>
    </w:p>
    <w:p w:rsidR="008662C4" w:rsidRPr="008662C4" w:rsidRDefault="008662C4" w:rsidP="008662C4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Общий ввод жилья за счет всех источников финансирования </w:t>
      </w:r>
      <w:r w:rsidRPr="008662C4">
        <w:rPr>
          <w:rFonts w:ascii="Times New Roman" w:eastAsia="Calibri" w:hAnsi="Times New Roman" w:cs="Times New Roman"/>
          <w:sz w:val="30"/>
          <w:szCs w:val="30"/>
        </w:rPr>
        <w:br/>
        <w:t xml:space="preserve">по области в объеме 661,7 тыс. кв. метров общей площади жилых домов </w:t>
      </w:r>
      <w:r w:rsidRPr="008662C4">
        <w:rPr>
          <w:rFonts w:ascii="Times New Roman" w:eastAsia="Calibri" w:hAnsi="Times New Roman" w:cs="Times New Roman"/>
          <w:sz w:val="30"/>
          <w:szCs w:val="30"/>
        </w:rPr>
        <w:lastRenderedPageBreak/>
        <w:t>или 101,8% от годового задания, в том числе 235,0 тыс. кв. метров для граждан, состоящих на учете нуждающихся в улучшении жилищных условий с государственной поддержкой или 88,7% от годового задания. Индивидуальными застройщиками введено в эксплуатацию 368,36 тыс. кв. метров, что составило 55% в общем объеме ввода жилья по области.</w:t>
      </w:r>
    </w:p>
    <w:p w:rsidR="008662C4" w:rsidRPr="008662C4" w:rsidRDefault="008662C4" w:rsidP="008662C4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В Брестской области все многоквартирные жилые дома проектируются и строятся с классом энергоэффективности не ниже В. </w:t>
      </w:r>
    </w:p>
    <w:p w:rsidR="008662C4" w:rsidRPr="008662C4" w:rsidRDefault="008662C4" w:rsidP="008662C4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За январь-ноябрь 2023 г. объем подрядных работ увеличился </w:t>
      </w:r>
      <w:r w:rsidRPr="008662C4">
        <w:rPr>
          <w:rFonts w:ascii="Times New Roman" w:eastAsia="Calibri" w:hAnsi="Times New Roman" w:cs="Times New Roman"/>
          <w:sz w:val="30"/>
          <w:szCs w:val="30"/>
        </w:rPr>
        <w:br/>
        <w:t xml:space="preserve">на 269,9 млн. рублей и составил 1 649,6 млн. рублей, темп роста – 108,7%, при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задании – </w:t>
      </w: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112,2%. </w:t>
      </w:r>
    </w:p>
    <w:p w:rsidR="008662C4" w:rsidRPr="008662C4" w:rsidRDefault="008662C4" w:rsidP="008662C4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Положительная динамика роста объемов подрядных работ </w:t>
      </w:r>
      <w:r w:rsidRPr="008662C4">
        <w:rPr>
          <w:rFonts w:ascii="Times New Roman" w:eastAsia="Calibri" w:hAnsi="Times New Roman" w:cs="Times New Roman"/>
          <w:sz w:val="30"/>
          <w:szCs w:val="30"/>
        </w:rPr>
        <w:br/>
        <w:t xml:space="preserve">к уровню 2022 года обеспечивается в том числе за счет опережающих темпов роста по выполнению капитальных и текущих ремонтов  </w:t>
      </w:r>
      <w:r w:rsidRPr="008662C4">
        <w:rPr>
          <w:rFonts w:ascii="Times New Roman" w:eastAsia="Calibri" w:hAnsi="Times New Roman" w:cs="Times New Roman"/>
          <w:sz w:val="30"/>
          <w:szCs w:val="30"/>
        </w:rPr>
        <w:br/>
      </w:r>
      <w:r w:rsidRPr="008662C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(за январь-ноябрь 2023 г. – 120,2%).</w:t>
      </w:r>
    </w:p>
    <w:p w:rsidR="008662C4" w:rsidRPr="008662C4" w:rsidRDefault="008662C4" w:rsidP="008662C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Обеспечение полной загрузки подрядных организаций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способствовало повышению эффективности их деятельности –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по итогам работы за январь-октябрь 2023 г. все основные финансово-экономические показатели по вэд «строительство» сложились выше аналогичного периода 2022 г. </w:t>
      </w:r>
    </w:p>
    <w:p w:rsidR="008662C4" w:rsidRPr="008662C4" w:rsidRDefault="008662C4" w:rsidP="008662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pacing w:val="-8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убыточных строительных организаций Брестской области по сравнению с аналогичным периодом 2022 года  сократилось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в 2,2 раза </w:t>
      </w:r>
      <w:r w:rsidRPr="008662C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 составило 13 единиц или 11,5% к их общему числу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8662C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(на 01.11.2022 – 29 ед. и 25,7% соответственно).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>Среднесписочной численности работников по вэд «строительство» за январь-ноябрь 2023 г. составила 15,4 тыс. человек, темп роста – 94,2%.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>Уровень оплаты туда в строительных организациях выше среднеобластного показателя на 97,3 рублей – так за январь-ноябрь 2023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 </w:t>
      </w:r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>г. номинальная начисленная среднемесячная заработная плата выросла на 346,1 рублей и составила 1 741,6 рубль, темп роста – 124,8%.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>В целях сохранения положительной динамики роста финансов-экономических показателей работы перед строительными организация</w:t>
      </w:r>
      <w:r w:rsidR="00D71B36">
        <w:rPr>
          <w:rFonts w:ascii="Times New Roman" w:eastAsia="Times New Roman" w:hAnsi="Times New Roman" w:cs="Times New Roman"/>
          <w:sz w:val="30"/>
          <w:szCs w:val="20"/>
          <w:lang w:eastAsia="ru-RU"/>
        </w:rPr>
        <w:t>ми</w:t>
      </w:r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на 2024 год поставлены задачи по обеспечению полной загрузки мощностей, в том числе по поиску объемов работ за пределами области, повышение эффективности их деятельности, обеспечение увеличения оплаты труда в строительстве в строгой взаимоувязке с ростом производительности труда, сохранение кадрового потенциала строительных организаций.</w:t>
      </w:r>
    </w:p>
    <w:p w:rsidR="008662C4" w:rsidRPr="008662C4" w:rsidRDefault="00D71B36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В промышленном секторе за 2023 год рост объемов производства (ИФО) составил 103,2% при задании на 2023 год 101,4%. Прирост обеспечен в 3 секциях из 4, в т.ч. в горнодобывающей промышленности темп роста составил 112,8%, в обрабатывающей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–</w:t>
      </w: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104,0%, в водоснабжении, сборе и удалении отходов – 100,1%.</w:t>
      </w:r>
      <w:r w:rsidR="008662C4"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lastRenderedPageBreak/>
        <w:t xml:space="preserve">Снижение объемов производства в снабжении электроэнергией, газом, теплом (темп роста 90,7%, за счет ввода в эксплуатацию РУП «Белорусская атомная электростанция») удалось компенсировать приростом на 11,6% в валообразующей для области отрасли – пищевой, в первую очередь благодаря лидерам отрасли: </w:t>
      </w:r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ОАО «Савушкин продукт» (прирост на 10,7%), ОАО «Брестский мясокомбинат» (9,9%), ОАО «Кобринский маслодельно-сыродельный завод» (7,9%), СП</w:t>
      </w:r>
      <w:r w:rsidR="00D71B36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 </w:t>
      </w:r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«Санта-Бремор» ООО (25,3%), ООО «АгроПродукт» (14,9%).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Фактически с начала пятилетки отрицательное влияние на общий результат в промышленности оказывает </w:t>
      </w:r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энергетика,</w:t>
      </w: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сократив объемы практически на 30% (10% в ИФО).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Падение объемов на протяжении последних трех лет также отмечается на ОАО «558 авиационный ремонтный завод» – на 40%. (2021 год темп роста 103,6%; 2022 </w:t>
      </w:r>
      <w:r w:rsid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–</w:t>
      </w: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87,8%; 2023</w:t>
      </w:r>
      <w:r w:rsid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–</w:t>
      </w: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63,6%).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При этом рост объемов производства обеспечен в легкой промышленности – 103,3%, производства машин и оборудования – 107,7%, производства вычислительной, электронной и оптической аппаратуры – 100,1%; производства резиновых и пластмассовых изделий, прочих неметаллических минеральных продуктов – 107,3%, металлургического производства – 116,0%, производства кокса и продуктов нефтепереработки – 170,1%.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На 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2024 год задача в промышленности – рост производства на 3,3%.</w:t>
      </w: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Также ожидается улучшение ситуации на ОАО «</w:t>
      </w:r>
      <w:r w:rsidR="00D71B36"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558 авиационный ремонтный завод</w:t>
      </w: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» (ИФО 167%). Планируется дальнейший рост в организациях мясомолочной отрасли и резидентов СЭЗ «Брест»</w:t>
      </w:r>
      <w:r w:rsid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</w:t>
      </w:r>
    </w:p>
    <w:p w:rsidR="00D71B36" w:rsidRPr="00D71B36" w:rsidRDefault="00D71B36" w:rsidP="00D71B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На 1 января 2024 г. общая стоимость запасов готовой продукции на складах предприятий Брестской области составила 1243,2 млн. рублей, или 89,7% к среднемесячному объему производства, в том числе: в организациях республиканского подчинения 582,6 млн. руб., или 153,8%, местного – 206,4 млн. руб., или 38,6% и без ведомственного подчинения – 454,1 млн. руб., или 96%.</w:t>
      </w:r>
    </w:p>
    <w:p w:rsidR="00D71B36" w:rsidRPr="00D71B36" w:rsidRDefault="00D71B36" w:rsidP="00D71B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За 2023 год удельный вес отгруженной инновационной продукции в общем объеме отгруженной продукции организаций обрабатывающей промышленности в целом по области составил 9,6%.</w:t>
      </w:r>
    </w:p>
    <w:p w:rsidR="00D71B36" w:rsidRPr="00D71B36" w:rsidRDefault="00D71B36" w:rsidP="00D71B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В СЭЗ «Брест» зарегистрировано 39 предприятий-резидентов основного круга без ведомственной подчиненности, из них выпуск инновационной продукции осуществляют 18 предприятий-резидентов (46,2%). </w:t>
      </w:r>
    </w:p>
    <w:p w:rsidR="00D71B36" w:rsidRDefault="00D71B36" w:rsidP="00D71B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По итогам 2023 года произведено импортозамещающей продукции на сумму 995,4 млн. долл. США, что составляет 101,9 % от запланированного объема производства на 2023 год.</w:t>
      </w:r>
    </w:p>
    <w:p w:rsidR="008662C4" w:rsidRPr="008662C4" w:rsidRDefault="008662C4" w:rsidP="0086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В экономике Брестской области значительная роль принадлежит агропромышленному комплексу.</w:t>
      </w:r>
    </w:p>
    <w:p w:rsidR="008662C4" w:rsidRPr="008662C4" w:rsidRDefault="008662C4" w:rsidP="0086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 протяжение многих лет Брестская область сохраняет лидерские позиции в республике по темпам роста валовой продукции сельского хозяйства, продуктивности скота, товарности и качеству молока, экспорту продуктов питания.</w:t>
      </w:r>
    </w:p>
    <w:p w:rsidR="008662C4" w:rsidRPr="008662C4" w:rsidRDefault="008662C4" w:rsidP="00D71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bookmarkStart w:id="1" w:name="_Hlk148345010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целом по области в сельскохозяйственном производстве занято свыше 46 тыс. человек, перерабатывающей промышленности – более 15 тыс. человек. </w:t>
      </w:r>
    </w:p>
    <w:p w:rsidR="008662C4" w:rsidRPr="008662C4" w:rsidRDefault="008662C4" w:rsidP="00D71B36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Среднемесячная зарплата в сельскохозяйственных организациях области </w:t>
      </w: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выросла на 25% до </w:t>
      </w:r>
      <w:r w:rsidRPr="008662C4">
        <w:rPr>
          <w:rFonts w:ascii="Times New Roman" w:eastAsia="DengXian" w:hAnsi="Times New Roman" w:cs="Times New Roman"/>
          <w:iCs/>
          <w:sz w:val="30"/>
          <w:szCs w:val="30"/>
          <w:lang w:eastAsia="ru-RU"/>
        </w:rPr>
        <w:t>1627 рублей</w:t>
      </w: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, на перерабатывающих предприятиях – на 12% до 2200 рублей.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производству абсолютного большинства видов сельскохозяйственной продукции на душу населения Брестская область превосходит средний показатель по республике.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Уровень самообеспечения основной сельскохозяйственной продукцией по всем видам продукции превышает 100%. Так, в 2022 году в области на душу населения произведено 168 кг мяса при потреблении 98 кг мяса и мясопродуктов, 1537 кг молока при потреблении 238 кг молока и молочных продуктов, 438 штук яиц (265 штук), 1187 кг зерна, 589 кг картофеля (161 кг), 527 кг овощей (174 кг). </w:t>
      </w:r>
    </w:p>
    <w:bookmarkEnd w:id="1"/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Брестская область производит пятую часть валовой продукции сельского хозяйства республики.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В свою очередь уровень сельскохозяйственного производства во многом определяет развитие других отраслей, так как в качестве сырья используется практически вся производимая животноводческая и более половины растениеводческой продукции.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Около 80% валовой продукции сельского хозяйства производятся в сельхозорганизациях, в пользовании которых находится 1,2 млн. га сельхозугодий или 88% от их общего наличия. Еще почти 6% – в крестьянских (фермерских) хозяйствах.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Область в лидерах по производству валовой продукции сельского хозяйства в республике. С начала пятилетки </w:t>
      </w:r>
      <w:r w:rsidRPr="008662C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(2021-2023 годы)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темп роста в хозяйствах всех категорий составил 109,1% (по республике – 100,3%).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>За 2023 год темп роста валовой продукции сельского хозяйства во всех категориях хозяйств области составил 103,9% (по республике - 101,1%), в сельхозорганизациях и крестьянских (фермерских) хозяйствах – 106,5% (по республике – 102,2%).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По итогам работы за 2023 год по основным показателям животноводства обеспечен рост: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производство молока выросло 8,9%, в 2023 году впервые преодолели рубеж в 2 млн. тонн молока,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выращивание скота и птицы – на 2,7% до 329 тыс. тонн,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производство яиц – на 8,7% до 525 млн. штук.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Область на протяжение многих лет занимает лидирующие позиции по производительности скота: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- на первом месте в республике по среднему удою молока на корову (удой составил 7268 кг, по республике – 5862 кг);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- на первом месте по среднесуточным привесам свиней (741 г, по республике – 662 г);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- на втором месте – по среднесуточным привесам крупного рогатого скота (704 г, по республике – 617 г).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Планомерно проводимая работа по модернизации ферм позволила в настоящее время перевести на современные технологии 87% поголовья коров.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растениеводстве в 2023 году также по всем основным культурам обеспечен рост объемов производства: зерна намолотили 1,6 млн. тонн (101,6% к уровню 2022 г.), рапса – 203 тыс. тонн (111,2%), сахарной свеклы – 1018 тыс. тонн (102,6%), овощей – 258 тыс. тонн (103,2%).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Постоянно ведется модернизация производства. Так, в 2023 году: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- велось строительство 134 животноводческих объектов, построено (реконструировано) и введено в эксплуатацию 40 МТФ,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в полном объеме введен в эксплуатацию свинокомплекс в Пинском районе,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- построено (реконструировано) 144 сенажно-силосных траншеи,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- введено в эксплуатацию 6 зерноочистительно-сушильных комплексов,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приобретено более двух тысяч (2250) единиц техники и оборудования, в том числе 203 зерноуборочных и 37 кормоуборочных</w:t>
      </w:r>
      <w:r w:rsidRPr="008662C4">
        <w:rPr>
          <w:rFonts w:ascii="Times New Roman" w:eastAsia="DengXian" w:hAnsi="Times New Roman" w:cs="Times New Roman"/>
          <w:iCs/>
          <w:sz w:val="30"/>
          <w:szCs w:val="30"/>
          <w:lang w:eastAsia="ru-RU"/>
        </w:rPr>
        <w:t xml:space="preserve"> комбайнов, 77</w:t>
      </w: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 энергонасыщенных тракторов.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Среди крупных сельхозорганизаций с площадью земель более 20 тысяч гектаров можно выделить «Беловежский» Каменецкого района, птицефабрику «Дружба» Барановичского, «Городец-Агро» Кобринского, «Ружаны-Агро» Пружанского районов.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После присоединения к ОАО «Беловежский» ОАО «Отечество» Пружанского района общая земельная площадь хозяйства составила 43,3 тыс. га, в том числе сельхозугодий – 38 тыс. га. Это почти как Жабинковский или Ганцевичский район в целом.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Лидирующие позиции и у перерабатывающих предприятий области. </w:t>
      </w:r>
    </w:p>
    <w:p w:rsidR="008662C4" w:rsidRPr="008662C4" w:rsidRDefault="008662C4" w:rsidP="0086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662C4">
        <w:rPr>
          <w:rFonts w:ascii="Times New Roman" w:eastAsia="Times New Roman" w:hAnsi="Times New Roman" w:cs="Times New Roman"/>
          <w:sz w:val="30"/>
          <w:szCs w:val="30"/>
        </w:rPr>
        <w:t xml:space="preserve">Мощности молокозаводов позволяют перерабатывать в год до 2,6 млн. тонн молока, мясокомбинатов </w:t>
      </w:r>
      <w:r w:rsidR="00CD27D9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8662C4">
        <w:rPr>
          <w:rFonts w:ascii="Times New Roman" w:eastAsia="Times New Roman" w:hAnsi="Times New Roman" w:cs="Times New Roman"/>
          <w:sz w:val="30"/>
          <w:szCs w:val="30"/>
        </w:rPr>
        <w:t xml:space="preserve"> до 180</w:t>
      </w:r>
      <w:r w:rsidRPr="008662C4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r w:rsidRPr="008662C4">
        <w:rPr>
          <w:rFonts w:ascii="Times New Roman" w:eastAsia="Times New Roman" w:hAnsi="Times New Roman" w:cs="Times New Roman"/>
          <w:sz w:val="30"/>
          <w:szCs w:val="30"/>
        </w:rPr>
        <w:t>тыс. тонн скота.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Основным направлением развития молочной отрасли было и остается наращивание объемов производства сыров полутвердых, улучшение их качества и расширение ассортимента. Проведена модернизация сыродельного производства практически на всех предприятиях, что позволило нарастить производственные мощности по производству сыров до 134 тонн в смену.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lastRenderedPageBreak/>
        <w:t xml:space="preserve">В течение ряда последних лет созданы современные производства по переработке молока, мяса, плодоовощной и алкогольной, хлебопекарной продукции. Предприятиями ведется постоянная работа по обновлению и расширению ассортимента выпускаемой продукции за счет внедрения прогрессивных технологий, применения новых технологических приемов обработки сырья, способов упаковки и упаковочных материалов, изменения технологических режимов производства с учетом мировых тенденций.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В 2023 году производство масла выросло на 20,0% до 36,0 тыс. тонн, цельномолочной продукции (в пересчете на молоко) – на 12,2% до 654,8 тыс. тонн, сыров – на 3,3% до 114,5 тыс. тонн, мяса и субпродуктов – на 11,5% до 93,4 тыс. тонн, колбасных изделий – на 19,8% до 117,0 тыс. тонн.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Ассортимент цельномолочной продукции насчитывает более 200, сыров – около 100 наименований.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Крупнейшим производителем молочной продукции в области является «Савушкин продукт», основные мощности которого расположены в Бресте, но также имеются производственные площадки в Березе, Иваново, Барановичах, Пинске, Столине.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Более 80% колбасных изделий, реализуемых на экспорт мясокомбинатами области, приходится на долю ОАО «Брестский мясокомбинат».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Ляховичским консервным заводом</w:t>
      </w:r>
      <w:r w:rsidRPr="008662C4">
        <w:rPr>
          <w:rFonts w:ascii="Times New Roman" w:eastAsia="DengXian" w:hAnsi="Times New Roman" w:cs="Times New Roman"/>
          <w:sz w:val="30"/>
          <w:szCs w:val="30"/>
          <w:shd w:val="clear" w:color="auto" w:fill="FFFFFF"/>
          <w:lang w:eastAsia="ru-RU"/>
        </w:rPr>
        <w:t xml:space="preserve"> выпускается ежегодно 100-120 наименований продукции, в том числе </w:t>
      </w: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для питания детей дошкольного и школьного возраста (томаты, огурцы, соки, нектары).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Хлебозаводами производится более 500 наименований хлебобулочных изделий. </w:t>
      </w:r>
    </w:p>
    <w:p w:rsidR="008662C4" w:rsidRPr="008662C4" w:rsidRDefault="008662C4" w:rsidP="0086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О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бласть традиционно занимает лидирующую позицию в республике по объемам экспорта сельскохозяйственной продукции и продуктов питания. </w:t>
      </w:r>
      <w:r w:rsidRPr="008662C4">
        <w:rPr>
          <w:rFonts w:ascii="Times New Roman" w:eastAsia="Times New Roman" w:hAnsi="Times New Roman" w:cs="Times New Roman"/>
          <w:sz w:val="30"/>
          <w:szCs w:val="30"/>
        </w:rPr>
        <w:t>Производя четверть республиканского объема продукции животноводства, область обеспечивает 30% экспорта молочных и мясных продуктов.</w:t>
      </w:r>
    </w:p>
    <w:p w:rsidR="00A95E54" w:rsidRPr="00866CC3" w:rsidRDefault="008662C4" w:rsidP="00866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662C4">
        <w:rPr>
          <w:rFonts w:ascii="Times New Roman" w:eastAsia="Times New Roman" w:hAnsi="Times New Roman" w:cs="Times New Roman"/>
          <w:sz w:val="30"/>
          <w:szCs w:val="30"/>
        </w:rPr>
        <w:t xml:space="preserve">Всего на экспорт поставляется более 75% произведенной молочной и 40% мясной продукции, </w:t>
      </w: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в том числе более 60% производимого масла, около 70% сыра полутвердого, порядка 30% цельномолочной продукции, около 30% колбасных изделий.</w:t>
      </w:r>
    </w:p>
    <w:sectPr w:rsidR="00A95E54" w:rsidRPr="00866CC3" w:rsidSect="009008A0">
      <w:headerReference w:type="default" r:id="rId6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756" w:rsidRDefault="00964756" w:rsidP="00866CC3">
      <w:pPr>
        <w:spacing w:after="0" w:line="240" w:lineRule="auto"/>
      </w:pPr>
      <w:r>
        <w:separator/>
      </w:r>
    </w:p>
  </w:endnote>
  <w:endnote w:type="continuationSeparator" w:id="0">
    <w:p w:rsidR="00964756" w:rsidRDefault="00964756" w:rsidP="0086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756" w:rsidRDefault="00964756" w:rsidP="00866CC3">
      <w:pPr>
        <w:spacing w:after="0" w:line="240" w:lineRule="auto"/>
      </w:pPr>
      <w:r>
        <w:separator/>
      </w:r>
    </w:p>
  </w:footnote>
  <w:footnote w:type="continuationSeparator" w:id="0">
    <w:p w:rsidR="00964756" w:rsidRDefault="00964756" w:rsidP="0086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1715590"/>
      <w:docPartObj>
        <w:docPartGallery w:val="Page Numbers (Top of Page)"/>
        <w:docPartUnique/>
      </w:docPartObj>
    </w:sdtPr>
    <w:sdtContent>
      <w:p w:rsidR="00866CC3" w:rsidRDefault="00966742">
        <w:pPr>
          <w:pStyle w:val="a3"/>
          <w:jc w:val="center"/>
        </w:pPr>
        <w:r w:rsidRPr="00866CC3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866CC3" w:rsidRPr="00866CC3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66CC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4E7454"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866CC3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866CC3" w:rsidRDefault="00866C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CC3"/>
    <w:rsid w:val="0018783F"/>
    <w:rsid w:val="00335F7F"/>
    <w:rsid w:val="00441A11"/>
    <w:rsid w:val="004E7454"/>
    <w:rsid w:val="004F7F8F"/>
    <w:rsid w:val="0058692B"/>
    <w:rsid w:val="008662C4"/>
    <w:rsid w:val="00866CC3"/>
    <w:rsid w:val="009008A0"/>
    <w:rsid w:val="00964756"/>
    <w:rsid w:val="00966742"/>
    <w:rsid w:val="00A10FF6"/>
    <w:rsid w:val="00A95E54"/>
    <w:rsid w:val="00B36132"/>
    <w:rsid w:val="00CD27D9"/>
    <w:rsid w:val="00D71B36"/>
    <w:rsid w:val="00E86C03"/>
    <w:rsid w:val="00E9405F"/>
    <w:rsid w:val="00F5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CC3"/>
  </w:style>
  <w:style w:type="paragraph" w:styleId="a5">
    <w:name w:val="footer"/>
    <w:basedOn w:val="a"/>
    <w:link w:val="a6"/>
    <w:uiPriority w:val="99"/>
    <w:unhideWhenUsed/>
    <w:rsid w:val="0086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CC3"/>
  </w:style>
  <w:style w:type="paragraph" w:styleId="a5">
    <w:name w:val="footer"/>
    <w:basedOn w:val="a"/>
    <w:link w:val="a6"/>
    <w:uiPriority w:val="99"/>
    <w:unhideWhenUsed/>
    <w:rsid w:val="0086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Северин</dc:creator>
  <cp:lastModifiedBy>ОдноОкно</cp:lastModifiedBy>
  <cp:revision>2</cp:revision>
  <cp:lastPrinted>2024-02-08T13:23:00Z</cp:lastPrinted>
  <dcterms:created xsi:type="dcterms:W3CDTF">2024-02-08T13:24:00Z</dcterms:created>
  <dcterms:modified xsi:type="dcterms:W3CDTF">2024-02-08T13:24:00Z</dcterms:modified>
</cp:coreProperties>
</file>